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5889392"/>
        <w:docPartObj>
          <w:docPartGallery w:val="Cover Pages"/>
          <w:docPartUnique/>
        </w:docPartObj>
      </w:sdtPr>
      <w:sdtEndPr/>
      <w:sdtContent>
        <w:p w:rsidR="00D129D4" w:rsidRDefault="00E86EC7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9675" cy="9150568"/>
                    <wp:effectExtent l="0" t="0" r="2540" b="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9675" cy="9150568"/>
                              <a:chOff x="0" y="1440"/>
                              <a:chExt cx="12239" cy="1338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placeholder>
                                      <w:docPart w:val="875695707A8046FBA86ED81E18990939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129D4" w:rsidRDefault="00CE211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Version 1.</w:t>
                                      </w:r>
                                      <w:r w:rsidR="008E4A91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 – </w:t>
                                      </w:r>
                                      <w:r w:rsidR="008E4A91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February 2017</w:t>
                                      </w:r>
                                    </w:p>
                                  </w:sdtContent>
                                </w:sdt>
                                <w:p w:rsidR="00D129D4" w:rsidRDefault="00D129D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3" y="13249"/>
                                <a:ext cx="6095" cy="1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9D4" w:rsidRPr="00E86EC7" w:rsidRDefault="00C45D3D" w:rsidP="00D129D4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E86EC7">
                                    <w:rPr>
                                      <w:sz w:val="56"/>
                                      <w:szCs w:val="56"/>
                                    </w:rPr>
                                    <w:t>Jan</w:t>
                                  </w:r>
                                  <w:r w:rsidR="00E86EC7" w:rsidRPr="00E86EC7">
                                    <w:rPr>
                                      <w:sz w:val="56"/>
                                      <w:szCs w:val="56"/>
                                    </w:rPr>
                                    <w:t>uary</w:t>
                                  </w:r>
                                  <w:r w:rsidRPr="00E86EC7">
                                    <w:rPr>
                                      <w:sz w:val="56"/>
                                      <w:szCs w:val="56"/>
                                    </w:rPr>
                                    <w:t xml:space="preserve"> 201</w:t>
                                  </w:r>
                                  <w:r w:rsidR="00B36B20" w:rsidRPr="00E86EC7">
                                    <w:rPr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129D4" w:rsidRDefault="00D129D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Training Policy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129D4" w:rsidRDefault="00D129D4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Sutton Coldfield Adventure Unit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129D4" w:rsidRDefault="00CE2116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Review Date: </w:t>
                                      </w:r>
                                      <w:r w:rsidR="00C45D3D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January 201</w:t>
                                      </w:r>
                                      <w:r w:rsidR="00E86EC7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  <w:p w:rsidR="00D129D4" w:rsidRDefault="00D129D4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95.25pt;height:720.5pt;z-index:251660288;mso-width-percent:1000;mso-position-horizontal:center;mso-position-horizontal-relative:page;mso-position-vertical:center;mso-position-vertical-relative:margin;mso-width-percent:1000;mso-height-relative:margin" coordorigin=",1440" coordsize="12239,1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875695707A8046FBA86ED81E18990939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129D4" w:rsidRDefault="00CE2116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Version 1.</w:t>
                                </w:r>
                                <w:r w:rsidR="008E4A91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 – </w:t>
                                </w:r>
                                <w:r w:rsidR="008E4A91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February 2017</w:t>
                                </w:r>
                              </w:p>
                            </w:sdtContent>
                          </w:sdt>
                          <w:p w:rsidR="00D129D4" w:rsidRDefault="00D129D4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5613;top:13249;width:6095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p w:rsidR="00D129D4" w:rsidRPr="00E86EC7" w:rsidRDefault="00C45D3D" w:rsidP="00D129D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6EC7">
                              <w:rPr>
                                <w:sz w:val="56"/>
                                <w:szCs w:val="56"/>
                              </w:rPr>
                              <w:t>Jan</w:t>
                            </w:r>
                            <w:r w:rsidR="00E86EC7" w:rsidRPr="00E86EC7">
                              <w:rPr>
                                <w:sz w:val="56"/>
                                <w:szCs w:val="56"/>
                              </w:rPr>
                              <w:t>uary</w:t>
                            </w:r>
                            <w:r w:rsidRPr="00E86EC7">
                              <w:rPr>
                                <w:sz w:val="56"/>
                                <w:szCs w:val="56"/>
                              </w:rPr>
                              <w:t xml:space="preserve"> 201</w:t>
                            </w:r>
                            <w:r w:rsidR="00B36B20" w:rsidRPr="00E86EC7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129D4" w:rsidRDefault="00D129D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Training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D129D4" w:rsidRDefault="00D129D4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Sutton Coldfield Adventure Unit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129D4" w:rsidRDefault="00CE2116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Review Date: </w:t>
                                </w:r>
                                <w:r w:rsidR="00C45D3D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January 201</w:t>
                                </w:r>
                                <w:r w:rsidR="00E86EC7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:rsidR="00D129D4" w:rsidRDefault="00D129D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D129D4" w:rsidRDefault="00D129D4"/>
        <w:p w:rsidR="00D129D4" w:rsidRDefault="00D129D4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tbl>
      <w:tblPr>
        <w:tblStyle w:val="TableGrid1"/>
        <w:tblW w:w="751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1843"/>
      </w:tblGrid>
      <w:tr w:rsidR="00F82C3C" w:rsidRPr="00F82C3C" w:rsidTr="00A20D3D">
        <w:trPr>
          <w:trHeight w:val="454"/>
        </w:trPr>
        <w:tc>
          <w:tcPr>
            <w:tcW w:w="155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82C3C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Reviewer:   </w:t>
            </w: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F82C3C" w:rsidRPr="00F82C3C" w:rsidRDefault="00F82C3C" w:rsidP="00F82C3C">
            <w:pPr>
              <w:kinsoku w:val="0"/>
              <w:spacing w:before="6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Greg Stevens</w:t>
            </w:r>
          </w:p>
        </w:tc>
      </w:tr>
      <w:tr w:rsidR="00F82C3C" w:rsidRPr="00F82C3C" w:rsidTr="00A20D3D">
        <w:trPr>
          <w:trHeight w:val="540"/>
        </w:trPr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:rsidR="00F82C3C" w:rsidRPr="00F82C3C" w:rsidRDefault="00F82C3C" w:rsidP="00F82C3C">
            <w:pPr>
              <w:kinsoku w:val="0"/>
              <w:spacing w:before="100" w:beforeAutospacing="1" w:after="100" w:afterAutospacing="1"/>
              <w:rPr>
                <w:rFonts w:ascii="Verdana" w:hAnsi="Verdana" w:cs="Verdana"/>
                <w:b/>
                <w:sz w:val="20"/>
                <w:szCs w:val="20"/>
              </w:rPr>
            </w:pPr>
            <w:r w:rsidRPr="00F82C3C">
              <w:rPr>
                <w:rFonts w:ascii="Verdana" w:hAnsi="Verdana" w:cs="Verdana"/>
                <w:b/>
                <w:sz w:val="20"/>
                <w:szCs w:val="20"/>
              </w:rPr>
              <w:t>Version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F2F2F2" w:themeFill="background1" w:themeFillShade="F2"/>
          </w:tcPr>
          <w:p w:rsidR="00F82C3C" w:rsidRPr="00F82C3C" w:rsidRDefault="00F82C3C" w:rsidP="00F82C3C">
            <w:pPr>
              <w:kinsoku w:val="0"/>
              <w:spacing w:before="100" w:beforeAutospacing="1" w:after="100" w:afterAutospacing="1"/>
              <w:rPr>
                <w:rFonts w:ascii="Verdana" w:hAnsi="Verdana" w:cs="Verdana"/>
                <w:b/>
                <w:sz w:val="20"/>
                <w:szCs w:val="20"/>
              </w:rPr>
            </w:pPr>
            <w:r w:rsidRPr="00F82C3C">
              <w:rPr>
                <w:rFonts w:ascii="Verdana" w:hAnsi="Verdana" w:cs="Verdana"/>
                <w:b/>
                <w:sz w:val="20"/>
                <w:szCs w:val="20"/>
              </w:rPr>
              <w:t>Amendments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2F2F2" w:themeFill="background1" w:themeFillShade="F2"/>
          </w:tcPr>
          <w:p w:rsidR="00F82C3C" w:rsidRPr="00F82C3C" w:rsidRDefault="00F82C3C" w:rsidP="00F82C3C">
            <w:pPr>
              <w:kinsoku w:val="0"/>
              <w:spacing w:before="100" w:beforeAutospacing="1" w:after="100" w:afterAutospacing="1"/>
              <w:rPr>
                <w:rFonts w:ascii="Verdana" w:hAnsi="Verdana" w:cs="Verdana"/>
                <w:b/>
                <w:sz w:val="20"/>
                <w:szCs w:val="20"/>
              </w:rPr>
            </w:pPr>
            <w:r w:rsidRPr="00F82C3C">
              <w:rPr>
                <w:rFonts w:ascii="Verdana" w:hAnsi="Verdana" w:cs="Verdana"/>
                <w:b/>
                <w:sz w:val="20"/>
                <w:szCs w:val="20"/>
              </w:rPr>
              <w:t>Approved by Trustees</w:t>
            </w:r>
          </w:p>
        </w:tc>
      </w:tr>
      <w:tr w:rsidR="00F82C3C" w:rsidRPr="00F82C3C" w:rsidTr="00A20D3D">
        <w:trPr>
          <w:trHeight w:val="449"/>
        </w:trPr>
        <w:tc>
          <w:tcPr>
            <w:tcW w:w="1559" w:type="dxa"/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1.2</w:t>
            </w:r>
          </w:p>
        </w:tc>
        <w:tc>
          <w:tcPr>
            <w:tcW w:w="4111" w:type="dxa"/>
          </w:tcPr>
          <w:p w:rsidR="00F82C3C" w:rsidRPr="00F82C3C" w:rsidRDefault="00F82C3C" w:rsidP="00F82C3C">
            <w:pPr>
              <w:kinsoku w:val="0"/>
              <w:spacing w:before="60" w:after="100" w:afterAutospacing="1"/>
              <w:rPr>
                <w:rFonts w:ascii="Verdana" w:hAnsi="Verdana" w:cs="Verdana"/>
                <w:sz w:val="20"/>
                <w:szCs w:val="20"/>
              </w:rPr>
            </w:pPr>
            <w:r w:rsidRPr="00F82C3C">
              <w:rPr>
                <w:rFonts w:ascii="Verdana" w:hAnsi="Verdana" w:cs="Verdana"/>
                <w:sz w:val="20"/>
                <w:szCs w:val="20"/>
              </w:rPr>
              <w:t xml:space="preserve">Revision </w:t>
            </w:r>
            <w:r>
              <w:rPr>
                <w:rFonts w:ascii="Verdana" w:hAnsi="Verdana" w:cs="Verdana"/>
                <w:sz w:val="20"/>
                <w:szCs w:val="20"/>
              </w:rPr>
              <w:t>Training Policy</w:t>
            </w:r>
          </w:p>
        </w:tc>
        <w:tc>
          <w:tcPr>
            <w:tcW w:w="1843" w:type="dxa"/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20/01/2015</w:t>
            </w:r>
          </w:p>
        </w:tc>
      </w:tr>
      <w:tr w:rsidR="00F82C3C" w:rsidRPr="00F82C3C" w:rsidTr="00A20D3D">
        <w:trPr>
          <w:trHeight w:val="449"/>
        </w:trPr>
        <w:tc>
          <w:tcPr>
            <w:tcW w:w="1559" w:type="dxa"/>
            <w:tcBorders>
              <w:bottom w:val="single" w:sz="4" w:space="0" w:color="auto"/>
            </w:tcBorders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center"/>
              <w:rPr>
                <w:rFonts w:ascii="Verdana" w:hAnsi="Verdana" w:cs="Verdana"/>
              </w:rPr>
            </w:pPr>
            <w:r w:rsidRPr="00F82C3C">
              <w:rPr>
                <w:rFonts w:ascii="Verdana" w:hAnsi="Verdana" w:cs="Verdana"/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C3C" w:rsidRPr="00F82C3C" w:rsidRDefault="00F82C3C" w:rsidP="00F82C3C">
            <w:pPr>
              <w:kinsoku w:val="0"/>
              <w:spacing w:before="60" w:after="100" w:afterAutospacing="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of</w:t>
            </w:r>
            <w:r w:rsidRPr="00F82C3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Training Policy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center"/>
              <w:rPr>
                <w:rFonts w:ascii="Verdana" w:hAnsi="Verdana" w:cs="Verdana"/>
              </w:rPr>
            </w:pPr>
          </w:p>
        </w:tc>
      </w:tr>
      <w:tr w:rsidR="00F82C3C" w:rsidRPr="00F82C3C" w:rsidTr="00A20D3D">
        <w:trPr>
          <w:trHeight w:val="449"/>
        </w:trPr>
        <w:tc>
          <w:tcPr>
            <w:tcW w:w="1559" w:type="dxa"/>
            <w:tcBorders>
              <w:bottom w:val="single" w:sz="4" w:space="0" w:color="auto"/>
            </w:tcBorders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C3C" w:rsidRDefault="00F82C3C" w:rsidP="00F82C3C">
            <w:pPr>
              <w:kinsoku w:val="0"/>
              <w:spacing w:before="60" w:after="100" w:afterAutospacing="1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2C3C" w:rsidRPr="00F82C3C" w:rsidRDefault="00F82C3C" w:rsidP="00F82C3C">
            <w:pPr>
              <w:kinsoku w:val="0"/>
              <w:spacing w:before="60" w:after="100" w:afterAutospacing="1"/>
              <w:jc w:val="center"/>
              <w:rPr>
                <w:rFonts w:ascii="Verdana" w:hAnsi="Verdana" w:cs="Verdana"/>
              </w:rPr>
            </w:pPr>
          </w:p>
        </w:tc>
      </w:tr>
      <w:tr w:rsidR="00F82C3C" w:rsidRPr="00F82C3C" w:rsidTr="00A20D3D">
        <w:trPr>
          <w:trHeight w:val="449"/>
        </w:trPr>
        <w:tc>
          <w:tcPr>
            <w:tcW w:w="7513" w:type="dxa"/>
            <w:gridSpan w:val="3"/>
          </w:tcPr>
          <w:p w:rsidR="00F82C3C" w:rsidRPr="00F82C3C" w:rsidRDefault="00F82C3C" w:rsidP="00F82C3C">
            <w:pPr>
              <w:kinsoku w:val="0"/>
              <w:spacing w:before="60" w:after="100" w:afterAutospacing="1"/>
              <w:rPr>
                <w:rFonts w:ascii="Verdana" w:hAnsi="Verdana" w:cs="Verdana"/>
                <w:b/>
                <w:sz w:val="20"/>
                <w:szCs w:val="20"/>
              </w:rPr>
            </w:pPr>
            <w:r w:rsidRPr="00F82C3C">
              <w:rPr>
                <w:rFonts w:ascii="Verdana" w:hAnsi="Verdana" w:cs="Verdana"/>
                <w:b/>
                <w:sz w:val="20"/>
                <w:szCs w:val="20"/>
              </w:rPr>
              <w:t xml:space="preserve">Next review: 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February</w:t>
            </w:r>
            <w:r w:rsidRPr="00F82C3C">
              <w:rPr>
                <w:rFonts w:ascii="Verdana" w:hAnsi="Verdana" w:cs="Verdana"/>
                <w:b/>
                <w:sz w:val="20"/>
                <w:szCs w:val="20"/>
              </w:rPr>
              <w:t xml:space="preserve"> 201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9</w:t>
            </w:r>
            <w:r w:rsidRPr="00F82C3C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F82C3C" w:rsidRDefault="00F82C3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:rsidR="006A23AF" w:rsidRDefault="001D7963" w:rsidP="00A948D0">
      <w:pPr>
        <w:pStyle w:val="Heading1"/>
      </w:pPr>
      <w:r>
        <w:lastRenderedPageBreak/>
        <w:t>Training</w:t>
      </w:r>
    </w:p>
    <w:p w:rsidR="003E1E3A" w:rsidRDefault="006A23AF" w:rsidP="00427841">
      <w:pPr>
        <w:jc w:val="both"/>
      </w:pPr>
      <w:r>
        <w:t xml:space="preserve">Sutton Coldfield Adventure Unit </w:t>
      </w:r>
      <w:r w:rsidR="00B238E5">
        <w:t xml:space="preserve">sees </w:t>
      </w:r>
      <w:r w:rsidR="003E1E3A">
        <w:t>training as</w:t>
      </w:r>
      <w:r>
        <w:t xml:space="preserve"> an essential requirement to ensure that adults supervising the youngsters within the Unit are </w:t>
      </w:r>
      <w:r w:rsidR="003E1E3A">
        <w:t>able to do so safely</w:t>
      </w:r>
      <w:r w:rsidR="00B238E5">
        <w:t xml:space="preserve"> and effectively</w:t>
      </w:r>
      <w:r>
        <w:t xml:space="preserve">.  There is a wealth of training available for leaders to attend but the cost, both </w:t>
      </w:r>
      <w:r w:rsidR="003E1E3A">
        <w:t>in financial</w:t>
      </w:r>
      <w:r>
        <w:t xml:space="preserve"> and</w:t>
      </w:r>
      <w:r w:rsidR="003E1E3A">
        <w:t xml:space="preserve"> time terms</w:t>
      </w:r>
      <w:r>
        <w:t xml:space="preserve">, can make certain courses </w:t>
      </w:r>
      <w:r w:rsidR="003E1E3A">
        <w:t xml:space="preserve">more </w:t>
      </w:r>
      <w:r>
        <w:t>prohibitive</w:t>
      </w:r>
      <w:r w:rsidR="003E1E3A">
        <w:t xml:space="preserve"> than others</w:t>
      </w:r>
      <w:r>
        <w:t>.</w:t>
      </w:r>
    </w:p>
    <w:p w:rsidR="006A23AF" w:rsidRDefault="003E1E3A" w:rsidP="00427841">
      <w:pPr>
        <w:jc w:val="both"/>
      </w:pPr>
      <w:r>
        <w:t>I</w:t>
      </w:r>
      <w:r w:rsidR="006A23AF">
        <w:t xml:space="preserve">t is considered that training falls into three categories: </w:t>
      </w:r>
    </w:p>
    <w:p w:rsidR="006A23AF" w:rsidRDefault="006A23AF" w:rsidP="00427841">
      <w:pPr>
        <w:pStyle w:val="ListParagraph"/>
        <w:numPr>
          <w:ilvl w:val="0"/>
          <w:numId w:val="1"/>
        </w:numPr>
        <w:jc w:val="both"/>
      </w:pPr>
      <w:r>
        <w:t>Essential Training.</w:t>
      </w:r>
    </w:p>
    <w:p w:rsidR="006A23AF" w:rsidRDefault="006A23AF" w:rsidP="00427841">
      <w:pPr>
        <w:pStyle w:val="ListParagraph"/>
        <w:numPr>
          <w:ilvl w:val="0"/>
          <w:numId w:val="1"/>
        </w:numPr>
        <w:jc w:val="both"/>
      </w:pPr>
      <w:r>
        <w:t>Ideal Training</w:t>
      </w:r>
    </w:p>
    <w:p w:rsidR="006A23AF" w:rsidRDefault="006A23AF" w:rsidP="00427841">
      <w:pPr>
        <w:pStyle w:val="ListParagraph"/>
        <w:numPr>
          <w:ilvl w:val="0"/>
          <w:numId w:val="1"/>
        </w:numPr>
        <w:jc w:val="both"/>
      </w:pPr>
      <w:r>
        <w:t>Advancement Training</w:t>
      </w:r>
    </w:p>
    <w:p w:rsidR="006A23AF" w:rsidRDefault="006A23AF" w:rsidP="00427841">
      <w:pPr>
        <w:pStyle w:val="Heading2"/>
        <w:jc w:val="both"/>
      </w:pPr>
      <w:r>
        <w:t>Essential Training</w:t>
      </w:r>
    </w:p>
    <w:p w:rsidR="006A23AF" w:rsidRDefault="006A23AF" w:rsidP="00427841">
      <w:pPr>
        <w:jc w:val="both"/>
      </w:pPr>
      <w:r>
        <w:t xml:space="preserve">These are the courses that SCAU will ensure that each </w:t>
      </w:r>
      <w:r w:rsidR="00E86EC7">
        <w:t xml:space="preserve">adult and URSA </w:t>
      </w:r>
      <w:r>
        <w:t xml:space="preserve">leader has attended </w:t>
      </w:r>
      <w:r w:rsidR="00E86EC7">
        <w:t xml:space="preserve">an accredited two day first aid course which will </w:t>
      </w:r>
      <w:r>
        <w:t xml:space="preserve">require </w:t>
      </w:r>
      <w:r w:rsidR="00E86EC7">
        <w:t>refreshing every three years</w:t>
      </w:r>
      <w:r>
        <w:t>.</w:t>
      </w:r>
      <w:r w:rsidR="00E86EC7">
        <w:t xml:space="preserve"> It is also recommended that young leaders attend a basic one day first aid course that will be refreshed every two years.</w:t>
      </w:r>
      <w:r>
        <w:t xml:space="preserve">  The below are the current training courses identified as essential and the timescale for refreshment:-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643"/>
        <w:gridCol w:w="3445"/>
      </w:tblGrid>
      <w:tr w:rsidR="00931C44" w:rsidRPr="00A948D0" w:rsidTr="00A948D0">
        <w:tc>
          <w:tcPr>
            <w:tcW w:w="2518" w:type="dxa"/>
            <w:shd w:val="clear" w:color="auto" w:fill="B8CCE4" w:themeFill="accent1" w:themeFillTint="66"/>
          </w:tcPr>
          <w:p w:rsidR="00931C44" w:rsidRPr="00A948D0" w:rsidRDefault="00931C44" w:rsidP="00427841">
            <w:pPr>
              <w:jc w:val="both"/>
              <w:rPr>
                <w:b/>
              </w:rPr>
            </w:pPr>
            <w:r w:rsidRPr="00A948D0">
              <w:rPr>
                <w:b/>
              </w:rPr>
              <w:t>Training Course</w:t>
            </w:r>
          </w:p>
        </w:tc>
        <w:tc>
          <w:tcPr>
            <w:tcW w:w="3643" w:type="dxa"/>
            <w:shd w:val="clear" w:color="auto" w:fill="B8CCE4" w:themeFill="accent1" w:themeFillTint="66"/>
          </w:tcPr>
          <w:p w:rsidR="00931C44" w:rsidRPr="00A948D0" w:rsidRDefault="00A948D0" w:rsidP="00427841">
            <w:pPr>
              <w:jc w:val="both"/>
              <w:rPr>
                <w:b/>
              </w:rPr>
            </w:pPr>
            <w:r>
              <w:rPr>
                <w:b/>
              </w:rPr>
              <w:t>Refresher T</w:t>
            </w:r>
            <w:r w:rsidR="00931C44" w:rsidRPr="00A948D0">
              <w:rPr>
                <w:b/>
              </w:rPr>
              <w:t>arget</w:t>
            </w:r>
          </w:p>
        </w:tc>
        <w:tc>
          <w:tcPr>
            <w:tcW w:w="3445" w:type="dxa"/>
            <w:shd w:val="clear" w:color="auto" w:fill="B8CCE4" w:themeFill="accent1" w:themeFillTint="66"/>
          </w:tcPr>
          <w:p w:rsidR="00931C44" w:rsidRPr="00A948D0" w:rsidRDefault="00931C44" w:rsidP="00427841">
            <w:pPr>
              <w:jc w:val="both"/>
              <w:rPr>
                <w:b/>
              </w:rPr>
            </w:pPr>
            <w:r w:rsidRPr="00A948D0">
              <w:rPr>
                <w:b/>
              </w:rPr>
              <w:t>Refresher required</w:t>
            </w:r>
          </w:p>
        </w:tc>
      </w:tr>
      <w:tr w:rsidR="00931C44" w:rsidTr="00A948D0">
        <w:trPr>
          <w:trHeight w:val="460"/>
        </w:trPr>
        <w:tc>
          <w:tcPr>
            <w:tcW w:w="2518" w:type="dxa"/>
            <w:vAlign w:val="center"/>
          </w:tcPr>
          <w:p w:rsidR="00931C44" w:rsidRDefault="00931C44" w:rsidP="00427841">
            <w:pPr>
              <w:jc w:val="both"/>
            </w:pPr>
            <w:r>
              <w:t xml:space="preserve">First Aid </w:t>
            </w:r>
            <w:r w:rsidR="002B1744">
              <w:t>at Work Training</w:t>
            </w:r>
            <w:r w:rsidR="00E86EC7">
              <w:t xml:space="preserve"> (External accredited course)</w:t>
            </w:r>
            <w:r w:rsidR="002B1744">
              <w:t xml:space="preserve"> </w:t>
            </w:r>
          </w:p>
        </w:tc>
        <w:tc>
          <w:tcPr>
            <w:tcW w:w="3643" w:type="dxa"/>
            <w:vAlign w:val="center"/>
          </w:tcPr>
          <w:p w:rsidR="00931C44" w:rsidRDefault="00931C44" w:rsidP="00427841">
            <w:pPr>
              <w:jc w:val="both"/>
            </w:pPr>
            <w:r>
              <w:t>Refresher course every 3 years</w:t>
            </w:r>
          </w:p>
        </w:tc>
        <w:tc>
          <w:tcPr>
            <w:tcW w:w="3445" w:type="dxa"/>
            <w:vAlign w:val="center"/>
          </w:tcPr>
          <w:p w:rsidR="00931C44" w:rsidRDefault="002B1744" w:rsidP="00427841">
            <w:pPr>
              <w:jc w:val="both"/>
            </w:pPr>
            <w:r>
              <w:t>Leader will be deemed to be ‘untrained’ after 4 years</w:t>
            </w:r>
            <w:r w:rsidR="00A948D0">
              <w:t xml:space="preserve"> </w:t>
            </w:r>
          </w:p>
        </w:tc>
      </w:tr>
      <w:tr w:rsidR="00931C44" w:rsidTr="00A948D0">
        <w:trPr>
          <w:trHeight w:val="752"/>
        </w:trPr>
        <w:tc>
          <w:tcPr>
            <w:tcW w:w="2518" w:type="dxa"/>
            <w:vAlign w:val="center"/>
          </w:tcPr>
          <w:p w:rsidR="00931C44" w:rsidRDefault="00931C44" w:rsidP="00427841">
            <w:pPr>
              <w:jc w:val="both"/>
            </w:pPr>
            <w:r>
              <w:t>Safeguarding – online</w:t>
            </w:r>
            <w:r w:rsidR="00E86EC7">
              <w:t xml:space="preserve"> (EDUCARE)</w:t>
            </w:r>
          </w:p>
        </w:tc>
        <w:tc>
          <w:tcPr>
            <w:tcW w:w="3643" w:type="dxa"/>
            <w:vAlign w:val="center"/>
          </w:tcPr>
          <w:p w:rsidR="00931C44" w:rsidRDefault="00931C44" w:rsidP="00427841">
            <w:pPr>
              <w:jc w:val="both"/>
            </w:pPr>
            <w:r>
              <w:t>Every Two Years (this ensures staff are aware of any legal developments)</w:t>
            </w:r>
          </w:p>
        </w:tc>
        <w:tc>
          <w:tcPr>
            <w:tcW w:w="3445" w:type="dxa"/>
            <w:vAlign w:val="center"/>
          </w:tcPr>
          <w:p w:rsidR="00931C44" w:rsidRDefault="00931C44" w:rsidP="00427841">
            <w:pPr>
              <w:jc w:val="both"/>
            </w:pPr>
            <w:r>
              <w:t>Qualification will lapse after year 3</w:t>
            </w:r>
          </w:p>
        </w:tc>
      </w:tr>
      <w:tr w:rsidR="00931C44" w:rsidTr="00A948D0">
        <w:trPr>
          <w:trHeight w:val="692"/>
        </w:trPr>
        <w:tc>
          <w:tcPr>
            <w:tcW w:w="2518" w:type="dxa"/>
            <w:vAlign w:val="center"/>
          </w:tcPr>
          <w:p w:rsidR="00931C44" w:rsidRDefault="00931C44" w:rsidP="00427841">
            <w:pPr>
              <w:jc w:val="both"/>
            </w:pPr>
            <w:r>
              <w:t>Safeguarding – Group delivery</w:t>
            </w:r>
            <w:r w:rsidR="00E86EC7">
              <w:t xml:space="preserve"> (internally run)</w:t>
            </w:r>
          </w:p>
        </w:tc>
        <w:tc>
          <w:tcPr>
            <w:tcW w:w="3643" w:type="dxa"/>
            <w:vAlign w:val="center"/>
          </w:tcPr>
          <w:p w:rsidR="00931C44" w:rsidRDefault="00931C44" w:rsidP="00427841">
            <w:pPr>
              <w:jc w:val="both"/>
            </w:pPr>
            <w:r>
              <w:t>Every three years</w:t>
            </w:r>
          </w:p>
        </w:tc>
        <w:tc>
          <w:tcPr>
            <w:tcW w:w="3445" w:type="dxa"/>
            <w:vAlign w:val="center"/>
          </w:tcPr>
          <w:p w:rsidR="00931C44" w:rsidRDefault="00931C44" w:rsidP="00427841">
            <w:pPr>
              <w:jc w:val="both"/>
            </w:pPr>
            <w:r>
              <w:t>As Target</w:t>
            </w:r>
          </w:p>
        </w:tc>
      </w:tr>
    </w:tbl>
    <w:p w:rsidR="006A23AF" w:rsidRDefault="006A23AF" w:rsidP="00427841">
      <w:pPr>
        <w:jc w:val="both"/>
      </w:pPr>
    </w:p>
    <w:p w:rsidR="00931C44" w:rsidRDefault="00931C44" w:rsidP="00427841">
      <w:pPr>
        <w:pStyle w:val="Heading2"/>
        <w:jc w:val="both"/>
      </w:pPr>
      <w:r>
        <w:t>Ideal Training</w:t>
      </w:r>
    </w:p>
    <w:p w:rsidR="00931C44" w:rsidRDefault="00931C44" w:rsidP="00427841">
      <w:pPr>
        <w:jc w:val="both"/>
      </w:pPr>
      <w:r>
        <w:t>This is training that enables leaders to run cert</w:t>
      </w:r>
      <w:r w:rsidR="00D129D4">
        <w:t>ain activities with the youngsters</w:t>
      </w:r>
      <w:r>
        <w:t>.  The below list is far from exha</w:t>
      </w:r>
      <w:r w:rsidR="00D129D4">
        <w:t>ustive but gives an indicator of</w:t>
      </w:r>
      <w:r>
        <w:t xml:space="preserve"> the type of course referred to in this section. Refresher details will be bespoke to the course which will be run by exter</w:t>
      </w:r>
      <w:r w:rsidR="00D129D4">
        <w:t>nal providers</w:t>
      </w:r>
      <w:r>
        <w:t xml:space="preserve"> suitably qualified in the particular area.</w:t>
      </w:r>
    </w:p>
    <w:p w:rsidR="00931C44" w:rsidRDefault="00931C44" w:rsidP="00427841">
      <w:pPr>
        <w:pStyle w:val="ListParagraph"/>
        <w:numPr>
          <w:ilvl w:val="0"/>
          <w:numId w:val="2"/>
        </w:numPr>
        <w:jc w:val="both"/>
      </w:pPr>
      <w:r>
        <w:t xml:space="preserve">Hill walking </w:t>
      </w:r>
      <w:r w:rsidR="00E86EC7">
        <w:t xml:space="preserve">&amp; Night Hiking </w:t>
      </w:r>
      <w:r>
        <w:t>– This is not essential from a legal perspective but ensures that those running these activities are suitably trained to make the relevant safety assessments</w:t>
      </w:r>
      <w:r w:rsidRPr="002B1744">
        <w:rPr>
          <w:b/>
        </w:rPr>
        <w:t>.</w:t>
      </w:r>
      <w:r w:rsidR="002B1744" w:rsidRPr="002B1744">
        <w:rPr>
          <w:b/>
        </w:rPr>
        <w:t xml:space="preserve"> No hill walking activity will be conducted without at least one Leader having the requisite qualification suitable to the terrain</w:t>
      </w:r>
      <w:r w:rsidR="002B1744">
        <w:t>, the details of which will be included in risk assessment for the activity. Ratio of one trained leader to every twelve children taking part in activity.</w:t>
      </w:r>
    </w:p>
    <w:p w:rsidR="00931C44" w:rsidRDefault="00931C44" w:rsidP="00427841">
      <w:pPr>
        <w:pStyle w:val="ListParagraph"/>
        <w:numPr>
          <w:ilvl w:val="0"/>
          <w:numId w:val="2"/>
        </w:numPr>
        <w:jc w:val="both"/>
      </w:pPr>
      <w:r>
        <w:t xml:space="preserve">Cycling courses </w:t>
      </w:r>
      <w:r w:rsidR="002B1744">
        <w:t xml:space="preserve">– some are provided </w:t>
      </w:r>
      <w:r>
        <w:t>free through Birmingham City Council</w:t>
      </w:r>
      <w:r w:rsidR="002B1744">
        <w:t xml:space="preserve"> which reinforce</w:t>
      </w:r>
      <w:r>
        <w:t xml:space="preserve"> best practice and a knowledge of any recent developments in safety and law in the area (lights, etc).</w:t>
      </w:r>
      <w:r w:rsidR="002B1744">
        <w:t xml:space="preserve"> Additional courses are available (e.g. mountain biking) which provides added expertise in this area and increases the credibility of the activities.</w:t>
      </w:r>
    </w:p>
    <w:p w:rsidR="002B1744" w:rsidRDefault="002B1744" w:rsidP="00427841">
      <w:pPr>
        <w:pStyle w:val="ListParagraph"/>
        <w:numPr>
          <w:ilvl w:val="0"/>
          <w:numId w:val="2"/>
        </w:numPr>
        <w:jc w:val="both"/>
      </w:pPr>
      <w:r>
        <w:t xml:space="preserve">Archery – This training, although listed as ‘ideal’ is </w:t>
      </w:r>
      <w:r w:rsidRPr="00E86EC7">
        <w:rPr>
          <w:b/>
        </w:rPr>
        <w:t>essential</w:t>
      </w:r>
      <w:r>
        <w:t xml:space="preserve"> if the activity is provided by SCAU (as with canoeing, rifle shooting and similar activities).  These courses are invariably </w:t>
      </w:r>
      <w:r>
        <w:lastRenderedPageBreak/>
        <w:t>provided by nationally accredited trainers and are essential due to safety and insurance requirements.</w:t>
      </w:r>
      <w:r w:rsidR="00E86EC7">
        <w:br/>
        <w:t>Canoeing – where this activity is to be run by the Unit adult or URSA leaders must be suitably qualified attaining an accredited course prior to the event.</w:t>
      </w:r>
    </w:p>
    <w:p w:rsidR="001F4DCF" w:rsidRDefault="001F4DCF" w:rsidP="00427841">
      <w:pPr>
        <w:pStyle w:val="ListParagraph"/>
        <w:numPr>
          <w:ilvl w:val="0"/>
          <w:numId w:val="2"/>
        </w:numPr>
        <w:jc w:val="both"/>
      </w:pPr>
      <w:r>
        <w:t>Duke of Edinburgh Course – ensuring that DofE can be</w:t>
      </w:r>
      <w:r w:rsidR="002B1744">
        <w:t xml:space="preserve"> offered to the members of SCAU, increasing the independence of the unit.</w:t>
      </w:r>
    </w:p>
    <w:p w:rsidR="002B1744" w:rsidRDefault="002B1744" w:rsidP="00427841">
      <w:pPr>
        <w:pStyle w:val="ListParagraph"/>
        <w:numPr>
          <w:ilvl w:val="0"/>
          <w:numId w:val="2"/>
        </w:numPr>
        <w:jc w:val="both"/>
      </w:pPr>
      <w:r>
        <w:t>First Aid – additional first aid courses are available and are deemed essential for DofE Expeditions in certain locations and at certain levels.</w:t>
      </w:r>
    </w:p>
    <w:p w:rsidR="00931C44" w:rsidRDefault="00931C44" w:rsidP="00427841">
      <w:pPr>
        <w:pStyle w:val="Heading2"/>
        <w:jc w:val="both"/>
      </w:pPr>
      <w:r>
        <w:t>Advancement Training</w:t>
      </w:r>
    </w:p>
    <w:p w:rsidR="001D7963" w:rsidRDefault="00931C44" w:rsidP="00427841">
      <w:pPr>
        <w:jc w:val="both"/>
      </w:pPr>
      <w:r>
        <w:t xml:space="preserve">This is the type of course that would advance the </w:t>
      </w:r>
      <w:r w:rsidR="001F4DCF">
        <w:t>quality of the activities on offer for those that attend SCAU.  A good example of such a course would be a Bushcraft Course</w:t>
      </w:r>
      <w:r w:rsidR="00E86EC7">
        <w:t xml:space="preserve"> </w:t>
      </w:r>
      <w:r w:rsidR="001F4DCF">
        <w:t xml:space="preserve">which would enable the leaders to offer a more informed ‘Survival’ camp for the youngsters.  </w:t>
      </w:r>
    </w:p>
    <w:p w:rsidR="00C45D3D" w:rsidRDefault="00C45D3D" w:rsidP="00427841">
      <w:pPr>
        <w:pStyle w:val="Heading2"/>
        <w:jc w:val="both"/>
      </w:pPr>
      <w:r>
        <w:t>Management</w:t>
      </w:r>
    </w:p>
    <w:p w:rsidR="00C45D3D" w:rsidRDefault="00C45D3D" w:rsidP="00427841">
      <w:pPr>
        <w:jc w:val="both"/>
      </w:pPr>
      <w:r>
        <w:t>Due to the increasing size of the leadership team, it is deemed necessary to incorporate within the Trustees a designated role of ‘Training co-ordinator’.  This identified individual will maintain a spreadsheet/database which includes details of all leaders.  The dates of all completed training will be recorded and at each Executive meeting, a report will be compiled which will include the following:-</w:t>
      </w:r>
    </w:p>
    <w:p w:rsidR="00C45D3D" w:rsidRDefault="00C45D3D" w:rsidP="00427841">
      <w:pPr>
        <w:pStyle w:val="ListParagraph"/>
        <w:numPr>
          <w:ilvl w:val="0"/>
          <w:numId w:val="3"/>
        </w:numPr>
        <w:jc w:val="both"/>
      </w:pPr>
      <w:r>
        <w:t>The expiry dates of essential training for leaders.</w:t>
      </w:r>
    </w:p>
    <w:p w:rsidR="00C45D3D" w:rsidRDefault="00427841" w:rsidP="00427841">
      <w:pPr>
        <w:pStyle w:val="ListParagraph"/>
        <w:numPr>
          <w:ilvl w:val="0"/>
          <w:numId w:val="3"/>
        </w:numPr>
        <w:jc w:val="both"/>
      </w:pPr>
      <w:r>
        <w:t>Training courses completed since previous meeting</w:t>
      </w:r>
    </w:p>
    <w:p w:rsidR="00427841" w:rsidRDefault="00427841" w:rsidP="00427841">
      <w:pPr>
        <w:pStyle w:val="ListParagraph"/>
        <w:numPr>
          <w:ilvl w:val="0"/>
          <w:numId w:val="3"/>
        </w:numPr>
        <w:jc w:val="both"/>
      </w:pPr>
      <w:r>
        <w:t xml:space="preserve">Planned training courses </w:t>
      </w:r>
    </w:p>
    <w:p w:rsidR="00427841" w:rsidRDefault="00427841" w:rsidP="00427841">
      <w:pPr>
        <w:pStyle w:val="ListParagraph"/>
        <w:numPr>
          <w:ilvl w:val="0"/>
          <w:numId w:val="3"/>
        </w:numPr>
        <w:jc w:val="both"/>
      </w:pPr>
      <w:r>
        <w:t>A list of</w:t>
      </w:r>
      <w:r w:rsidR="00E86EC7">
        <w:t xml:space="preserve"> advancement training requests submitted from the Leaders Group meetings.</w:t>
      </w:r>
    </w:p>
    <w:p w:rsidR="00427841" w:rsidRDefault="00427841" w:rsidP="00427841">
      <w:pPr>
        <w:jc w:val="both"/>
      </w:pPr>
      <w:r>
        <w:t xml:space="preserve">It will be the responsibility of the Training Co-ordinator to </w:t>
      </w:r>
      <w:r w:rsidR="00E86EC7">
        <w:t xml:space="preserve">raise the issues and risks </w:t>
      </w:r>
      <w:r>
        <w:t>regarding the need for/availability of funds for both essentia</w:t>
      </w:r>
      <w:r w:rsidR="00E86EC7">
        <w:t>l and non-essential courses to the Operations Group.</w:t>
      </w:r>
    </w:p>
    <w:p w:rsidR="00E86EC7" w:rsidRDefault="00E86EC7" w:rsidP="00427841">
      <w:pPr>
        <w:jc w:val="both"/>
      </w:pPr>
      <w:r>
        <w:t>The Training Coordinator will also provide update reports for information to all the Executive Meetings and provide any additional information as requested.</w:t>
      </w:r>
    </w:p>
    <w:p w:rsidR="00427841" w:rsidRPr="00C45D3D" w:rsidRDefault="00427841" w:rsidP="00427841">
      <w:pPr>
        <w:jc w:val="both"/>
      </w:pPr>
      <w:r>
        <w:t xml:space="preserve">Training co-ordinator as appointed January 2015 is </w:t>
      </w:r>
      <w:r w:rsidR="00E86EC7">
        <w:t>Greg Stevens.</w:t>
      </w:r>
    </w:p>
    <w:sectPr w:rsidR="00427841" w:rsidRPr="00C45D3D" w:rsidSect="00D129D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82" w:rsidRDefault="00361382" w:rsidP="003E1E3A">
      <w:pPr>
        <w:spacing w:after="0" w:line="240" w:lineRule="auto"/>
      </w:pPr>
      <w:r>
        <w:separator/>
      </w:r>
    </w:p>
  </w:endnote>
  <w:endnote w:type="continuationSeparator" w:id="0">
    <w:p w:rsidR="00361382" w:rsidRDefault="00361382" w:rsidP="003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82" w:rsidRDefault="00361382" w:rsidP="003E1E3A">
      <w:pPr>
        <w:spacing w:after="0" w:line="240" w:lineRule="auto"/>
      </w:pPr>
      <w:r>
        <w:separator/>
      </w:r>
    </w:p>
  </w:footnote>
  <w:footnote w:type="continuationSeparator" w:id="0">
    <w:p w:rsidR="00361382" w:rsidRDefault="00361382" w:rsidP="003E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647"/>
    <w:multiLevelType w:val="hybridMultilevel"/>
    <w:tmpl w:val="4F3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3F7A"/>
    <w:multiLevelType w:val="hybridMultilevel"/>
    <w:tmpl w:val="E99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07"/>
    <w:multiLevelType w:val="hybridMultilevel"/>
    <w:tmpl w:val="67F2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3"/>
    <w:rsid w:val="000B11AF"/>
    <w:rsid w:val="001D7963"/>
    <w:rsid w:val="001F4DCF"/>
    <w:rsid w:val="0028753F"/>
    <w:rsid w:val="002B1744"/>
    <w:rsid w:val="00361382"/>
    <w:rsid w:val="00362EE9"/>
    <w:rsid w:val="003E1E3A"/>
    <w:rsid w:val="00427841"/>
    <w:rsid w:val="004E55FD"/>
    <w:rsid w:val="005148C5"/>
    <w:rsid w:val="00635FF4"/>
    <w:rsid w:val="006A23AF"/>
    <w:rsid w:val="008E4A91"/>
    <w:rsid w:val="00931C44"/>
    <w:rsid w:val="00A948D0"/>
    <w:rsid w:val="00AF4A5E"/>
    <w:rsid w:val="00B238E5"/>
    <w:rsid w:val="00B36B20"/>
    <w:rsid w:val="00BE44BE"/>
    <w:rsid w:val="00C45D3D"/>
    <w:rsid w:val="00CE2116"/>
    <w:rsid w:val="00D129D4"/>
    <w:rsid w:val="00DE35A9"/>
    <w:rsid w:val="00E86EC7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1752AC-E9ED-4EAE-8597-DB0D9919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FD"/>
  </w:style>
  <w:style w:type="paragraph" w:styleId="Heading1">
    <w:name w:val="heading 1"/>
    <w:basedOn w:val="Normal"/>
    <w:next w:val="Normal"/>
    <w:link w:val="Heading1Char"/>
    <w:uiPriority w:val="9"/>
    <w:qFormat/>
    <w:rsid w:val="00A94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8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AF"/>
    <w:pPr>
      <w:ind w:left="720"/>
      <w:contextualSpacing/>
    </w:pPr>
  </w:style>
  <w:style w:type="table" w:styleId="TableGrid">
    <w:name w:val="Table Grid"/>
    <w:basedOn w:val="TableNormal"/>
    <w:uiPriority w:val="59"/>
    <w:rsid w:val="0093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1E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E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E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82C3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695707A8046FBA86ED81E1899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2910-365B-4421-A978-20ED994F6816}"/>
      </w:docPartPr>
      <w:docPartBody>
        <w:p w:rsidR="0065275F" w:rsidRDefault="008C421E" w:rsidP="008C421E">
          <w:pPr>
            <w:pStyle w:val="875695707A8046FBA86ED81E18990939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421E"/>
    <w:rsid w:val="004512A5"/>
    <w:rsid w:val="0065275F"/>
    <w:rsid w:val="006E3CED"/>
    <w:rsid w:val="008C421E"/>
    <w:rsid w:val="00B57D77"/>
    <w:rsid w:val="00D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695707A8046FBA86ED81E18990939">
    <w:name w:val="875695707A8046FBA86ED81E18990939"/>
    <w:rsid w:val="008C421E"/>
  </w:style>
  <w:style w:type="paragraph" w:customStyle="1" w:styleId="7209A2688138446AA726418C318D18FE">
    <w:name w:val="7209A2688138446AA726418C318D18FE"/>
    <w:rsid w:val="008C421E"/>
  </w:style>
  <w:style w:type="paragraph" w:customStyle="1" w:styleId="D51953934E724AA89E025AD2BB3A2F3B">
    <w:name w:val="D51953934E724AA89E025AD2BB3A2F3B"/>
    <w:rsid w:val="008C421E"/>
  </w:style>
  <w:style w:type="paragraph" w:customStyle="1" w:styleId="8381E920F553489C89CAA3F63638441B">
    <w:name w:val="8381E920F553489C89CAA3F63638441B"/>
    <w:rsid w:val="008C421E"/>
  </w:style>
  <w:style w:type="paragraph" w:customStyle="1" w:styleId="57B24603141D4D5AAB3256A0C9A832FE">
    <w:name w:val="57B24603141D4D5AAB3256A0C9A832FE"/>
    <w:rsid w:val="008C4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95711-4C71-485B-8CC2-6CCA70F3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Policy</vt:lpstr>
    </vt:vector>
  </TitlesOfParts>
  <Company>Version 1.3 – February 2017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Policy</dc:title>
  <dc:subject>Sutton Coldfield Adventure Unit</dc:subject>
  <dc:creator>Review Date: January 2019</dc:creator>
  <cp:lastModifiedBy>greg stevens</cp:lastModifiedBy>
  <cp:revision>5</cp:revision>
  <cp:lastPrinted>2015-01-19T15:32:00Z</cp:lastPrinted>
  <dcterms:created xsi:type="dcterms:W3CDTF">2017-02-26T09:34:00Z</dcterms:created>
  <dcterms:modified xsi:type="dcterms:W3CDTF">2017-02-26T09:50:00Z</dcterms:modified>
</cp:coreProperties>
</file>